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DCF" w:rsidRPr="007E3FE3" w:rsidRDefault="00B7111B" w:rsidP="00771DCF">
      <w:pPr>
        <w:jc w:val="center"/>
        <w:rPr>
          <w:rFonts w:ascii="Verdana" w:hAnsi="Verdana"/>
          <w:sz w:val="24"/>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-457200</wp:posOffset>
                </wp:positionV>
                <wp:extent cx="5600700" cy="854710"/>
                <wp:effectExtent l="13335" t="13970" r="571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54710"/>
                        </a:xfrm>
                        <a:prstGeom prst="rect">
                          <a:avLst/>
                        </a:prstGeom>
                        <a:solidFill>
                          <a:srgbClr val="FFFFFF"/>
                        </a:solidFill>
                        <a:ln w="9525">
                          <a:solidFill>
                            <a:srgbClr val="000000"/>
                          </a:solidFill>
                          <a:miter lim="800000"/>
                          <a:headEnd/>
                          <a:tailEnd/>
                        </a:ln>
                      </wps:spPr>
                      <wps:txbx>
                        <w:txbxContent>
                          <w:p w:rsidR="00771DCF" w:rsidRPr="00B5292F" w:rsidRDefault="00771DCF" w:rsidP="00771DCF">
                            <w:pPr>
                              <w:jc w:val="center"/>
                              <w:rPr>
                                <w:rFonts w:ascii="Verdana" w:hAnsi="Verdana"/>
                                <w:sz w:val="24"/>
                                <w:szCs w:val="24"/>
                                <w:lang w:val="es-MX"/>
                              </w:rPr>
                            </w:pPr>
                            <w:r w:rsidRPr="00B5292F">
                              <w:rPr>
                                <w:rFonts w:ascii="Verdana" w:hAnsi="Verdana"/>
                                <w:sz w:val="24"/>
                                <w:szCs w:val="24"/>
                                <w:lang w:val="es-MX"/>
                              </w:rPr>
                              <w:t>MINISTERIO DE OBRAS PUBLICAS Y TRANSPORTES</w:t>
                            </w:r>
                          </w:p>
                          <w:p w:rsidR="00771DCF" w:rsidRPr="00B5292F" w:rsidRDefault="00771DCF" w:rsidP="00771DCF">
                            <w:pPr>
                              <w:pStyle w:val="Ttulo2"/>
                              <w:spacing w:before="0"/>
                              <w:jc w:val="center"/>
                              <w:rPr>
                                <w:rFonts w:ascii="Verdana" w:hAnsi="Verdana"/>
                                <w:szCs w:val="24"/>
                              </w:rPr>
                            </w:pPr>
                            <w:r w:rsidRPr="00B5292F">
                              <w:rPr>
                                <w:rFonts w:ascii="Verdana" w:hAnsi="Verdana"/>
                                <w:szCs w:val="24"/>
                              </w:rPr>
                              <w:t>TRIBUNAL ADMINISTRATIVO DE TRANSPORTE</w:t>
                            </w:r>
                          </w:p>
                          <w:p w:rsidR="00771DCF" w:rsidRPr="00B5292F" w:rsidRDefault="00771DCF" w:rsidP="00771DCF">
                            <w:pPr>
                              <w:pStyle w:val="Sinespaciado"/>
                              <w:jc w:val="center"/>
                              <w:rPr>
                                <w:rFonts w:ascii="Verdana" w:hAnsi="Verdana"/>
                                <w:b/>
                                <w:sz w:val="24"/>
                                <w:szCs w:val="24"/>
                              </w:rPr>
                            </w:pPr>
                            <w:r w:rsidRPr="00B5292F">
                              <w:rPr>
                                <w:rFonts w:ascii="Verdana" w:hAnsi="Verdana"/>
                                <w:b/>
                                <w:sz w:val="24"/>
                                <w:szCs w:val="24"/>
                              </w:rPr>
                              <w:t>TEL. 2524-1838 2524-2260, Fax: 25241833</w:t>
                            </w:r>
                          </w:p>
                          <w:p w:rsidR="00771DCF" w:rsidRPr="00771DCF" w:rsidRDefault="00771DCF" w:rsidP="00771DCF">
                            <w:pPr>
                              <w:jc w:val="center"/>
                            </w:pPr>
                            <w:r w:rsidRPr="00B5292F">
                              <w:rPr>
                                <w:rFonts w:ascii="Verdana" w:hAnsi="Verdana"/>
                                <w:sz w:val="24"/>
                                <w:szCs w:val="24"/>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6pt;width:441pt;height:6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">
                <v:textbox>
                  <w:txbxContent>
                    <w:p w:rsidR="00771DCF" w:rsidRPr="00B5292F" w:rsidRDefault="00771DCF" w:rsidP="00771DCF">
                      <w:pPr>
                        <w:jc w:val="center"/>
                        <w:rPr>
                          <w:rFonts w:ascii="Verdana" w:hAnsi="Verdana"/>
                          <w:sz w:val="24"/>
                          <w:szCs w:val="24"/>
                          <w:lang w:val="es-MX"/>
                        </w:rPr>
                      </w:pPr>
                      <w:r w:rsidRPr="00B5292F">
                        <w:rPr>
                          <w:rFonts w:ascii="Verdana" w:hAnsi="Verdana"/>
                          <w:sz w:val="24"/>
                          <w:szCs w:val="24"/>
                          <w:lang w:val="es-MX"/>
                        </w:rPr>
                        <w:t>MINISTERIO DE OBRAS PUBLICAS Y TRANSPORTES</w:t>
                      </w:r>
                    </w:p>
                    <w:p w:rsidR="00771DCF" w:rsidRPr="00B5292F" w:rsidRDefault="00771DCF" w:rsidP="00771DCF">
                      <w:pPr>
                        <w:pStyle w:val="Ttulo2"/>
                        <w:spacing w:before="0"/>
                        <w:jc w:val="center"/>
                        <w:rPr>
                          <w:rFonts w:ascii="Verdana" w:hAnsi="Verdana"/>
                          <w:szCs w:val="24"/>
                        </w:rPr>
                      </w:pPr>
                      <w:r w:rsidRPr="00B5292F">
                        <w:rPr>
                          <w:rFonts w:ascii="Verdana" w:hAnsi="Verdana"/>
                          <w:szCs w:val="24"/>
                        </w:rPr>
                        <w:t>TRIBUNAL ADMINISTRATIVO DE TRANSPORTE</w:t>
                      </w:r>
                    </w:p>
                    <w:p w:rsidR="00771DCF" w:rsidRPr="00B5292F" w:rsidRDefault="00771DCF" w:rsidP="00771DCF">
                      <w:pPr>
                        <w:pStyle w:val="Sinespaciado"/>
                        <w:jc w:val="center"/>
                        <w:rPr>
                          <w:rFonts w:ascii="Verdana" w:hAnsi="Verdana"/>
                          <w:b/>
                          <w:sz w:val="24"/>
                          <w:szCs w:val="24"/>
                        </w:rPr>
                      </w:pPr>
                      <w:r w:rsidRPr="00B5292F">
                        <w:rPr>
                          <w:rFonts w:ascii="Verdana" w:hAnsi="Verdana"/>
                          <w:b/>
                          <w:sz w:val="24"/>
                          <w:szCs w:val="24"/>
                        </w:rPr>
                        <w:t>TEL. 2524-1838 2524-2260, Fax: 25241833</w:t>
                      </w:r>
                    </w:p>
                    <w:p w:rsidR="00771DCF" w:rsidRPr="00771DCF" w:rsidRDefault="00771DCF" w:rsidP="00771DCF">
                      <w:pPr>
                        <w:jc w:val="center"/>
                      </w:pPr>
                      <w:r w:rsidRPr="00B5292F">
                        <w:rPr>
                          <w:rFonts w:ascii="Verdana" w:hAnsi="Verdana"/>
                          <w:sz w:val="24"/>
                          <w:szCs w:val="24"/>
                          <w:lang w:val="es-MX"/>
                        </w:rPr>
                        <w:t>San José, Costa Rica</w:t>
                      </w:r>
                    </w:p>
                  </w:txbxContent>
                </v:textbox>
                <w10:wrap type="square"/>
              </v:shape>
            </w:pict>
          </mc:Fallback>
        </mc:AlternateContent>
      </w:r>
    </w:p>
    <w:p w:rsidR="00771DCF" w:rsidRPr="007E3FE3" w:rsidRDefault="00771DCF" w:rsidP="00771DCF">
      <w:pPr>
        <w:jc w:val="center"/>
        <w:rPr>
          <w:rFonts w:ascii="Verdana" w:hAnsi="Verdana"/>
          <w:sz w:val="24"/>
        </w:rPr>
      </w:pPr>
    </w:p>
    <w:p w:rsidR="00771DCF" w:rsidRPr="007E3FE3" w:rsidRDefault="00771DCF" w:rsidP="00771DCF">
      <w:pPr>
        <w:jc w:val="center"/>
        <w:rPr>
          <w:rFonts w:ascii="Verdana" w:hAnsi="Verdana"/>
          <w:sz w:val="24"/>
        </w:rPr>
      </w:pPr>
      <w:r w:rsidRPr="007E3FE3">
        <w:rPr>
          <w:rFonts w:ascii="Verdana" w:hAnsi="Verdana"/>
          <w:sz w:val="24"/>
        </w:rPr>
        <w:t xml:space="preserve">RESOLUCION </w:t>
      </w:r>
      <w:r>
        <w:rPr>
          <w:rFonts w:ascii="Verdana" w:hAnsi="Verdana"/>
          <w:sz w:val="24"/>
        </w:rPr>
        <w:t>TAT</w:t>
      </w:r>
      <w:r w:rsidR="00B7111B">
        <w:rPr>
          <w:rFonts w:ascii="Verdana" w:hAnsi="Verdana"/>
          <w:sz w:val="24"/>
        </w:rPr>
        <w:t>-</w:t>
      </w:r>
      <w:r>
        <w:rPr>
          <w:rFonts w:ascii="Verdana" w:hAnsi="Verdana"/>
          <w:sz w:val="24"/>
        </w:rPr>
        <w:t>2630-2015</w:t>
      </w:r>
    </w:p>
    <w:p w:rsidR="00771DCF" w:rsidRPr="007E3FE3" w:rsidRDefault="00771DCF" w:rsidP="00771DCF">
      <w:pPr>
        <w:jc w:val="center"/>
        <w:rPr>
          <w:rFonts w:ascii="Verdana" w:hAnsi="Verdana"/>
          <w:sz w:val="24"/>
        </w:rPr>
      </w:pPr>
    </w:p>
    <w:p w:rsidR="00771DCF" w:rsidRPr="007E3FE3" w:rsidRDefault="00771DCF" w:rsidP="00771DCF">
      <w:pPr>
        <w:jc w:val="both"/>
        <w:rPr>
          <w:rFonts w:ascii="Verdana" w:hAnsi="Verdana"/>
          <w:sz w:val="24"/>
        </w:rPr>
      </w:pPr>
      <w:r w:rsidRPr="007E3FE3">
        <w:rPr>
          <w:rFonts w:ascii="Verdana" w:hAnsi="Verdana"/>
          <w:b/>
          <w:sz w:val="24"/>
        </w:rPr>
        <w:t xml:space="preserve">TRIBUNAL ADMINISTRATIVO DE TRANSPORTE.  </w:t>
      </w:r>
      <w:r w:rsidRPr="007E3FE3">
        <w:rPr>
          <w:rFonts w:ascii="Verdana" w:hAnsi="Verdana"/>
          <w:sz w:val="24"/>
        </w:rPr>
        <w:t xml:space="preserve">San José, a las </w:t>
      </w:r>
      <w:r>
        <w:rPr>
          <w:rFonts w:ascii="Verdana" w:hAnsi="Verdana"/>
          <w:sz w:val="24"/>
        </w:rPr>
        <w:t>once horas veintisiete minutos del treinta de junio de dos mil quince</w:t>
      </w:r>
      <w:r w:rsidRPr="007E3FE3">
        <w:rPr>
          <w:rFonts w:ascii="Verdana" w:hAnsi="Verdana"/>
          <w:sz w:val="24"/>
        </w:rPr>
        <w:t xml:space="preserve">.-   </w:t>
      </w:r>
    </w:p>
    <w:p w:rsidR="00771DCF" w:rsidRPr="007E3FE3" w:rsidRDefault="00771DCF" w:rsidP="00771DCF">
      <w:pPr>
        <w:jc w:val="both"/>
        <w:rPr>
          <w:rFonts w:ascii="Verdana" w:hAnsi="Verdana"/>
          <w:b/>
          <w:sz w:val="24"/>
        </w:rPr>
      </w:pPr>
    </w:p>
    <w:p w:rsidR="00771DCF" w:rsidRPr="007E3FE3" w:rsidRDefault="00771DCF" w:rsidP="00771DCF">
      <w:pPr>
        <w:jc w:val="both"/>
        <w:rPr>
          <w:rFonts w:ascii="Verdana" w:hAnsi="Verdana"/>
          <w:sz w:val="24"/>
        </w:rPr>
      </w:pPr>
      <w:r w:rsidRPr="007E3FE3">
        <w:rPr>
          <w:rFonts w:ascii="Verdana" w:hAnsi="Verdana"/>
          <w:sz w:val="24"/>
        </w:rPr>
        <w:t xml:space="preserve">Se conoce </w:t>
      </w:r>
      <w:r w:rsidRPr="007E3FE3">
        <w:rPr>
          <w:rFonts w:ascii="Verdana" w:hAnsi="Verdana"/>
          <w:smallCaps/>
          <w:sz w:val="24"/>
        </w:rPr>
        <w:t>Recursos de Apelación</w:t>
      </w:r>
      <w:r>
        <w:rPr>
          <w:rFonts w:ascii="Verdana" w:hAnsi="Verdana"/>
          <w:smallCaps/>
          <w:sz w:val="24"/>
        </w:rPr>
        <w:t xml:space="preserve"> en </w:t>
      </w:r>
      <w:proofErr w:type="gramStart"/>
      <w:r>
        <w:rPr>
          <w:rFonts w:ascii="Verdana" w:hAnsi="Verdana"/>
          <w:smallCaps/>
          <w:sz w:val="24"/>
        </w:rPr>
        <w:t>subsidio</w:t>
      </w:r>
      <w:r w:rsidRPr="007E3FE3">
        <w:rPr>
          <w:rFonts w:ascii="Verdana" w:hAnsi="Verdana"/>
          <w:smallCaps/>
          <w:sz w:val="24"/>
        </w:rPr>
        <w:t xml:space="preserve">,  </w:t>
      </w:r>
      <w:r w:rsidRPr="007E3FE3">
        <w:rPr>
          <w:rFonts w:ascii="Verdana" w:hAnsi="Verdana"/>
          <w:b/>
          <w:sz w:val="24"/>
        </w:rPr>
        <w:t xml:space="preserve"> </w:t>
      </w:r>
      <w:proofErr w:type="gramEnd"/>
      <w:r w:rsidRPr="007E3FE3">
        <w:rPr>
          <w:rFonts w:ascii="Verdana" w:hAnsi="Verdana"/>
          <w:sz w:val="24"/>
        </w:rPr>
        <w:t xml:space="preserve">interpuesto por la Empresa </w:t>
      </w:r>
      <w:r w:rsidR="005F4AD9">
        <w:rPr>
          <w:rFonts w:ascii="Verdana" w:hAnsi="Verdana"/>
          <w:b/>
          <w:sz w:val="24"/>
        </w:rPr>
        <w:t>C.N.T.C.</w:t>
      </w:r>
      <w:r>
        <w:rPr>
          <w:rFonts w:ascii="Verdana" w:hAnsi="Verdana"/>
          <w:b/>
          <w:sz w:val="24"/>
        </w:rPr>
        <w:t xml:space="preserve">, cédula jurídica número </w:t>
      </w:r>
      <w:r w:rsidR="005F4AD9">
        <w:rPr>
          <w:rFonts w:ascii="Verdana" w:hAnsi="Verdana"/>
          <w:b/>
          <w:sz w:val="24"/>
        </w:rPr>
        <w:t>XXX</w:t>
      </w:r>
      <w:r w:rsidRPr="007E3FE3">
        <w:rPr>
          <w:rFonts w:ascii="Verdana" w:hAnsi="Verdana"/>
          <w:sz w:val="24"/>
        </w:rPr>
        <w:t xml:space="preserve">, por medio del señor </w:t>
      </w:r>
      <w:r w:rsidR="005F4AD9">
        <w:rPr>
          <w:rFonts w:ascii="Verdana" w:hAnsi="Verdana"/>
          <w:b/>
          <w:sz w:val="24"/>
        </w:rPr>
        <w:t>C.Q.B.</w:t>
      </w:r>
      <w:r w:rsidRPr="00771DCF">
        <w:rPr>
          <w:rFonts w:ascii="Verdana" w:hAnsi="Verdana"/>
          <w:b/>
          <w:sz w:val="24"/>
        </w:rPr>
        <w:t xml:space="preserve">, cédula de identidad número </w:t>
      </w:r>
      <w:bookmarkStart w:id="0" w:name="_GoBack"/>
      <w:r w:rsidR="005F4AD9">
        <w:rPr>
          <w:rFonts w:ascii="Verdana" w:hAnsi="Verdana"/>
          <w:b/>
          <w:sz w:val="24"/>
        </w:rPr>
        <w:t>XXX</w:t>
      </w:r>
      <w:bookmarkEnd w:id="0"/>
      <w:r w:rsidRPr="007E3FE3">
        <w:rPr>
          <w:rFonts w:ascii="Verdana" w:hAnsi="Verdana"/>
          <w:sz w:val="24"/>
        </w:rPr>
        <w:t xml:space="preserve">, en su condición de Apoderado </w:t>
      </w:r>
      <w:r>
        <w:rPr>
          <w:rFonts w:ascii="Verdana" w:hAnsi="Verdana"/>
          <w:sz w:val="24"/>
        </w:rPr>
        <w:t>G</w:t>
      </w:r>
      <w:r w:rsidRPr="007E3FE3">
        <w:rPr>
          <w:rFonts w:ascii="Verdana" w:hAnsi="Verdana"/>
          <w:sz w:val="24"/>
        </w:rPr>
        <w:t>eneralísimo sin límite de suma</w:t>
      </w:r>
      <w:r w:rsidRPr="007E3FE3">
        <w:rPr>
          <w:rFonts w:ascii="Verdana" w:hAnsi="Verdana"/>
          <w:b/>
          <w:sz w:val="24"/>
        </w:rPr>
        <w:t>,</w:t>
      </w:r>
      <w:r w:rsidRPr="007E3FE3">
        <w:rPr>
          <w:rFonts w:ascii="Verdana" w:hAnsi="Verdana"/>
          <w:smallCaps/>
          <w:sz w:val="24"/>
        </w:rPr>
        <w:t xml:space="preserve"> </w:t>
      </w:r>
      <w:r w:rsidRPr="007E3FE3">
        <w:rPr>
          <w:rFonts w:ascii="Verdana" w:hAnsi="Verdana"/>
          <w:sz w:val="24"/>
        </w:rPr>
        <w:t>contra</w:t>
      </w:r>
      <w:r w:rsidRPr="007E3FE3">
        <w:rPr>
          <w:rFonts w:ascii="Verdana" w:hAnsi="Verdana"/>
          <w:b/>
          <w:sz w:val="24"/>
        </w:rPr>
        <w:t xml:space="preserve"> el artículo </w:t>
      </w:r>
      <w:r>
        <w:rPr>
          <w:rFonts w:ascii="Verdana" w:hAnsi="Verdana"/>
          <w:b/>
          <w:sz w:val="24"/>
        </w:rPr>
        <w:t>8.1 de la Sesión Ordinaria 25-2015 de 6 de mayo de 2015</w:t>
      </w:r>
      <w:r w:rsidRPr="007E3FE3">
        <w:rPr>
          <w:rFonts w:ascii="Verdana" w:hAnsi="Verdana"/>
          <w:b/>
          <w:sz w:val="24"/>
        </w:rPr>
        <w:t xml:space="preserve">, </w:t>
      </w:r>
      <w:r w:rsidRPr="007E3FE3">
        <w:rPr>
          <w:rFonts w:ascii="Verdana" w:hAnsi="Verdana"/>
          <w:sz w:val="24"/>
        </w:rPr>
        <w:t xml:space="preserve">acordado por la </w:t>
      </w:r>
      <w:r w:rsidRPr="007E3FE3">
        <w:rPr>
          <w:rFonts w:ascii="Verdana" w:hAnsi="Verdana"/>
          <w:smallCaps/>
          <w:sz w:val="24"/>
        </w:rPr>
        <w:t xml:space="preserve">Junta Directiva del </w:t>
      </w:r>
      <w:r w:rsidRPr="007E3FE3">
        <w:rPr>
          <w:rFonts w:ascii="Verdana" w:hAnsi="Verdana"/>
          <w:sz w:val="24"/>
        </w:rPr>
        <w:t xml:space="preserve"> </w:t>
      </w:r>
      <w:r w:rsidRPr="007E3FE3">
        <w:rPr>
          <w:rFonts w:ascii="Verdana" w:hAnsi="Verdana"/>
          <w:smallCaps/>
          <w:sz w:val="24"/>
        </w:rPr>
        <w:t>Consejo de Transporte Público</w:t>
      </w:r>
      <w:r w:rsidRPr="007E3FE3">
        <w:rPr>
          <w:rFonts w:ascii="Verdana" w:hAnsi="Verdana"/>
          <w:sz w:val="24"/>
        </w:rPr>
        <w:t xml:space="preserve"> y  tramitado en este Despacho, </w:t>
      </w:r>
      <w:r w:rsidRPr="007E3FE3">
        <w:rPr>
          <w:rFonts w:ascii="Verdana" w:hAnsi="Verdana"/>
          <w:b/>
          <w:sz w:val="24"/>
        </w:rPr>
        <w:t>Expediente Administrativo No. TAT-</w:t>
      </w:r>
      <w:r>
        <w:rPr>
          <w:rFonts w:ascii="Verdana" w:hAnsi="Verdana"/>
          <w:b/>
          <w:sz w:val="24"/>
        </w:rPr>
        <w:t>248-15</w:t>
      </w:r>
      <w:r w:rsidRPr="007E3FE3">
        <w:rPr>
          <w:rFonts w:ascii="Verdana" w:hAnsi="Verdana"/>
          <w:sz w:val="24"/>
        </w:rPr>
        <w:t xml:space="preserve">                                                         </w:t>
      </w:r>
    </w:p>
    <w:p w:rsidR="00771DCF" w:rsidRPr="007E3FE3" w:rsidRDefault="00771DCF" w:rsidP="00771DCF">
      <w:pPr>
        <w:jc w:val="both"/>
        <w:rPr>
          <w:rFonts w:ascii="Verdana" w:hAnsi="Verdana"/>
          <w:sz w:val="24"/>
        </w:rPr>
      </w:pPr>
    </w:p>
    <w:p w:rsidR="00771DCF" w:rsidRPr="007E3FE3" w:rsidRDefault="00771DCF" w:rsidP="00771DCF">
      <w:pPr>
        <w:jc w:val="both"/>
        <w:rPr>
          <w:rFonts w:ascii="Verdana" w:hAnsi="Verdana"/>
          <w:sz w:val="24"/>
        </w:rPr>
      </w:pPr>
    </w:p>
    <w:p w:rsidR="00771DCF" w:rsidRPr="007E3FE3" w:rsidRDefault="00771DCF" w:rsidP="00771DCF">
      <w:pPr>
        <w:jc w:val="both"/>
        <w:rPr>
          <w:rFonts w:ascii="Verdana" w:hAnsi="Verdana"/>
          <w:sz w:val="24"/>
        </w:rPr>
      </w:pPr>
      <w:r w:rsidRPr="007E3FE3">
        <w:rPr>
          <w:rFonts w:ascii="Verdana" w:hAnsi="Verdana"/>
          <w:sz w:val="24"/>
        </w:rPr>
        <w:t xml:space="preserve">Redacta la  Jueza Pérez Peláez; y, </w:t>
      </w:r>
    </w:p>
    <w:p w:rsidR="00771DCF" w:rsidRPr="007E3FE3" w:rsidRDefault="00771DCF" w:rsidP="00771DCF">
      <w:pPr>
        <w:jc w:val="center"/>
        <w:rPr>
          <w:rFonts w:ascii="Verdana" w:hAnsi="Verdana"/>
          <w:b/>
          <w:sz w:val="24"/>
        </w:rPr>
      </w:pPr>
    </w:p>
    <w:p w:rsidR="00771DCF" w:rsidRPr="007E3FE3" w:rsidRDefault="00771DCF" w:rsidP="00771DCF">
      <w:pPr>
        <w:spacing w:line="480" w:lineRule="auto"/>
        <w:jc w:val="center"/>
        <w:rPr>
          <w:rFonts w:ascii="Verdana" w:hAnsi="Verdana"/>
          <w:b/>
          <w:sz w:val="24"/>
        </w:rPr>
      </w:pPr>
      <w:r w:rsidRPr="007E3FE3">
        <w:rPr>
          <w:rFonts w:ascii="Verdana" w:hAnsi="Verdana"/>
          <w:b/>
          <w:sz w:val="24"/>
        </w:rPr>
        <w:t xml:space="preserve">CONSIDERANDO UNICO: </w:t>
      </w:r>
    </w:p>
    <w:p w:rsidR="00771DCF" w:rsidRPr="007E3FE3" w:rsidRDefault="00771DCF" w:rsidP="00771DCF">
      <w:pPr>
        <w:jc w:val="both"/>
        <w:rPr>
          <w:rFonts w:ascii="Verdana" w:hAnsi="Verdana"/>
          <w:sz w:val="24"/>
        </w:rPr>
      </w:pPr>
    </w:p>
    <w:p w:rsidR="00771DCF" w:rsidRPr="007E3FE3" w:rsidRDefault="00771DCF" w:rsidP="00771DCF">
      <w:pPr>
        <w:jc w:val="both"/>
        <w:rPr>
          <w:rFonts w:ascii="Verdana" w:hAnsi="Verdana"/>
          <w:sz w:val="24"/>
        </w:rPr>
      </w:pPr>
      <w:r w:rsidRPr="007E3FE3">
        <w:rPr>
          <w:rFonts w:ascii="Verdana" w:hAnsi="Verdana"/>
          <w:sz w:val="24"/>
        </w:rPr>
        <w:t xml:space="preserve">La Empresa </w:t>
      </w:r>
      <w:r w:rsidR="005F4AD9">
        <w:rPr>
          <w:rFonts w:ascii="Verdana" w:hAnsi="Verdana"/>
          <w:b/>
          <w:sz w:val="24"/>
        </w:rPr>
        <w:t>C.N.T.C.</w:t>
      </w:r>
      <w:r w:rsidR="005B231B">
        <w:rPr>
          <w:rFonts w:ascii="Verdana" w:hAnsi="Verdana"/>
          <w:b/>
          <w:sz w:val="24"/>
        </w:rPr>
        <w:t xml:space="preserve">, cédula jurídica número </w:t>
      </w:r>
      <w:r w:rsidR="005F4AD9">
        <w:rPr>
          <w:rFonts w:ascii="Verdana" w:hAnsi="Verdana"/>
          <w:b/>
          <w:sz w:val="24"/>
        </w:rPr>
        <w:t>XXX</w:t>
      </w:r>
      <w:r w:rsidRPr="007E3FE3">
        <w:rPr>
          <w:rFonts w:ascii="Verdana" w:hAnsi="Verdana"/>
          <w:sz w:val="24"/>
        </w:rPr>
        <w:t xml:space="preserve">, por medio del señor </w:t>
      </w:r>
      <w:r w:rsidR="005F4AD9">
        <w:rPr>
          <w:rFonts w:ascii="Verdana" w:hAnsi="Verdana"/>
          <w:b/>
          <w:sz w:val="24"/>
        </w:rPr>
        <w:t>C.Q.B.</w:t>
      </w:r>
      <w:r w:rsidRPr="007E3FE3">
        <w:rPr>
          <w:rFonts w:ascii="Verdana" w:hAnsi="Verdana"/>
          <w:sz w:val="24"/>
        </w:rPr>
        <w:t>, en su condición de Apoderado generalísimo sin límite de suma</w:t>
      </w:r>
      <w:r w:rsidRPr="007E3FE3">
        <w:rPr>
          <w:rFonts w:ascii="Verdana" w:hAnsi="Verdana"/>
          <w:b/>
          <w:sz w:val="24"/>
        </w:rPr>
        <w:t>,</w:t>
      </w:r>
      <w:r w:rsidRPr="007E3FE3">
        <w:rPr>
          <w:rFonts w:ascii="Verdana" w:hAnsi="Verdana"/>
          <w:smallCaps/>
          <w:sz w:val="24"/>
        </w:rPr>
        <w:t xml:space="preserve"> </w:t>
      </w:r>
      <w:r w:rsidRPr="007E3FE3">
        <w:rPr>
          <w:rFonts w:ascii="Verdana" w:hAnsi="Verdana"/>
          <w:sz w:val="24"/>
        </w:rPr>
        <w:t xml:space="preserve">presenta ante este Tribunal el día </w:t>
      </w:r>
      <w:r w:rsidR="005B231B">
        <w:rPr>
          <w:rFonts w:ascii="Verdana" w:hAnsi="Verdana"/>
          <w:sz w:val="24"/>
        </w:rPr>
        <w:t>19</w:t>
      </w:r>
      <w:r w:rsidRPr="007E3FE3">
        <w:rPr>
          <w:rFonts w:ascii="Verdana" w:hAnsi="Verdana"/>
          <w:sz w:val="24"/>
        </w:rPr>
        <w:t xml:space="preserve"> de </w:t>
      </w:r>
      <w:r w:rsidR="005B231B">
        <w:rPr>
          <w:rFonts w:ascii="Verdana" w:hAnsi="Verdana"/>
          <w:sz w:val="24"/>
        </w:rPr>
        <w:t>mayo</w:t>
      </w:r>
      <w:r w:rsidRPr="007E3FE3">
        <w:rPr>
          <w:rFonts w:ascii="Verdana" w:hAnsi="Verdana"/>
          <w:sz w:val="24"/>
        </w:rPr>
        <w:t xml:space="preserve"> de</w:t>
      </w:r>
      <w:r w:rsidRPr="007E3FE3">
        <w:rPr>
          <w:rFonts w:ascii="Verdana" w:hAnsi="Verdana"/>
          <w:smallCaps/>
          <w:sz w:val="24"/>
        </w:rPr>
        <w:t xml:space="preserve"> </w:t>
      </w:r>
      <w:r w:rsidR="005B231B">
        <w:rPr>
          <w:rFonts w:ascii="Verdana" w:hAnsi="Verdana"/>
          <w:smallCaps/>
          <w:sz w:val="24"/>
        </w:rPr>
        <w:t>2015</w:t>
      </w:r>
      <w:r w:rsidRPr="007E3FE3">
        <w:rPr>
          <w:rFonts w:ascii="Verdana" w:hAnsi="Verdana"/>
          <w:smallCaps/>
          <w:sz w:val="24"/>
        </w:rPr>
        <w:t xml:space="preserve">, Recurso de Apelación, </w:t>
      </w:r>
      <w:r w:rsidRPr="007E3FE3">
        <w:rPr>
          <w:rFonts w:ascii="Verdana" w:hAnsi="Verdana"/>
          <w:sz w:val="24"/>
        </w:rPr>
        <w:t>contra</w:t>
      </w:r>
      <w:r w:rsidRPr="007E3FE3">
        <w:rPr>
          <w:rFonts w:ascii="Verdana" w:hAnsi="Verdana"/>
          <w:b/>
          <w:sz w:val="24"/>
        </w:rPr>
        <w:t xml:space="preserve"> artículo 3</w:t>
      </w:r>
      <w:r w:rsidR="005B231B">
        <w:rPr>
          <w:rFonts w:ascii="Verdana" w:hAnsi="Verdana"/>
          <w:b/>
          <w:sz w:val="24"/>
        </w:rPr>
        <w:t>8.1 de la Sesión Ordinaria 25-2015 de 6 de mayo de 2015</w:t>
      </w:r>
      <w:r w:rsidRPr="007E3FE3">
        <w:rPr>
          <w:rFonts w:ascii="Verdana" w:hAnsi="Verdana"/>
          <w:b/>
          <w:sz w:val="24"/>
        </w:rPr>
        <w:t xml:space="preserve">, </w:t>
      </w:r>
      <w:r w:rsidRPr="007E3FE3">
        <w:rPr>
          <w:rFonts w:ascii="Verdana" w:hAnsi="Verdana"/>
          <w:sz w:val="24"/>
        </w:rPr>
        <w:t xml:space="preserve">acordado por la </w:t>
      </w:r>
      <w:r w:rsidRPr="007E3FE3">
        <w:rPr>
          <w:rFonts w:ascii="Verdana" w:hAnsi="Verdana"/>
          <w:smallCaps/>
          <w:sz w:val="24"/>
        </w:rPr>
        <w:t xml:space="preserve">Junta Directiva </w:t>
      </w:r>
      <w:proofErr w:type="gramStart"/>
      <w:r w:rsidRPr="007E3FE3">
        <w:rPr>
          <w:rFonts w:ascii="Verdana" w:hAnsi="Verdana"/>
          <w:smallCaps/>
          <w:sz w:val="24"/>
        </w:rPr>
        <w:t xml:space="preserve">del </w:t>
      </w:r>
      <w:r w:rsidRPr="007E3FE3">
        <w:rPr>
          <w:rFonts w:ascii="Verdana" w:hAnsi="Verdana"/>
          <w:sz w:val="24"/>
        </w:rPr>
        <w:t xml:space="preserve"> </w:t>
      </w:r>
      <w:r w:rsidRPr="007E3FE3">
        <w:rPr>
          <w:rFonts w:ascii="Verdana" w:hAnsi="Verdana"/>
          <w:smallCaps/>
          <w:sz w:val="24"/>
        </w:rPr>
        <w:t>Consejo</w:t>
      </w:r>
      <w:proofErr w:type="gramEnd"/>
      <w:r w:rsidRPr="007E3FE3">
        <w:rPr>
          <w:rFonts w:ascii="Verdana" w:hAnsi="Verdana"/>
          <w:smallCaps/>
          <w:sz w:val="24"/>
        </w:rPr>
        <w:t xml:space="preserve"> de Transporte Público. </w:t>
      </w:r>
      <w:proofErr w:type="gramStart"/>
      <w:r w:rsidRPr="007E3FE3">
        <w:rPr>
          <w:rFonts w:ascii="Verdana" w:hAnsi="Verdana"/>
          <w:smallCaps/>
          <w:sz w:val="24"/>
        </w:rPr>
        <w:t xml:space="preserve">( </w:t>
      </w:r>
      <w:r w:rsidRPr="007E3FE3">
        <w:rPr>
          <w:rFonts w:ascii="Verdana" w:hAnsi="Verdana"/>
          <w:sz w:val="24"/>
        </w:rPr>
        <w:t>ver</w:t>
      </w:r>
      <w:proofErr w:type="gramEnd"/>
      <w:r w:rsidRPr="007E3FE3">
        <w:rPr>
          <w:rFonts w:ascii="Verdana" w:hAnsi="Verdana"/>
          <w:sz w:val="24"/>
        </w:rPr>
        <w:t xml:space="preserve"> folios</w:t>
      </w:r>
      <w:r w:rsidR="005B231B">
        <w:rPr>
          <w:rFonts w:ascii="Verdana" w:hAnsi="Verdana"/>
          <w:sz w:val="24"/>
        </w:rPr>
        <w:t xml:space="preserve"> del </w:t>
      </w:r>
      <w:r w:rsidRPr="007E3FE3">
        <w:rPr>
          <w:rFonts w:ascii="Verdana" w:hAnsi="Verdana"/>
          <w:sz w:val="24"/>
        </w:rPr>
        <w:t xml:space="preserve"> </w:t>
      </w:r>
      <w:r w:rsidR="005B231B">
        <w:rPr>
          <w:rFonts w:ascii="Verdana" w:hAnsi="Verdana"/>
          <w:sz w:val="24"/>
        </w:rPr>
        <w:t>1 al 12</w:t>
      </w:r>
      <w:r w:rsidRPr="007E3FE3">
        <w:rPr>
          <w:rFonts w:ascii="Verdana" w:hAnsi="Verdana"/>
          <w:sz w:val="24"/>
        </w:rPr>
        <w:t xml:space="preserve"> del expediente administrativo)</w:t>
      </w:r>
    </w:p>
    <w:p w:rsidR="00771DCF" w:rsidRPr="007E3FE3" w:rsidRDefault="00771DCF" w:rsidP="00771DCF">
      <w:pPr>
        <w:jc w:val="both"/>
        <w:rPr>
          <w:rFonts w:ascii="Verdana" w:hAnsi="Verdana"/>
          <w:sz w:val="24"/>
        </w:rPr>
      </w:pPr>
    </w:p>
    <w:p w:rsidR="00771DCF" w:rsidRPr="007E3FE3" w:rsidRDefault="00771DCF" w:rsidP="00771DCF">
      <w:pPr>
        <w:jc w:val="both"/>
        <w:rPr>
          <w:rFonts w:ascii="Verdana" w:hAnsi="Verdana"/>
          <w:sz w:val="24"/>
        </w:rPr>
      </w:pPr>
      <w:r w:rsidRPr="007E3FE3">
        <w:rPr>
          <w:rFonts w:ascii="Verdana" w:hAnsi="Verdana"/>
          <w:sz w:val="24"/>
        </w:rPr>
        <w:t>Del libelo de presentación, se puede verificar que el documento es interpuesto, conjuntamente en este despacho y en el Consejo de Transporte Público, constituyendo el mismo un Recurso de Revocatoria con Apelación en subsidio contra el referido acuerdo del Consejo.</w:t>
      </w:r>
    </w:p>
    <w:p w:rsidR="00771DCF" w:rsidRPr="007E3FE3" w:rsidRDefault="00771DCF" w:rsidP="00771DCF">
      <w:pPr>
        <w:jc w:val="both"/>
        <w:rPr>
          <w:rFonts w:ascii="Verdana" w:hAnsi="Verdana"/>
          <w:sz w:val="24"/>
        </w:rPr>
      </w:pPr>
    </w:p>
    <w:p w:rsidR="00771DCF" w:rsidRPr="007E3FE3" w:rsidRDefault="005B231B" w:rsidP="00771DCF">
      <w:pPr>
        <w:jc w:val="both"/>
        <w:rPr>
          <w:rFonts w:ascii="Verdana" w:hAnsi="Verdana"/>
          <w:sz w:val="24"/>
        </w:rPr>
      </w:pPr>
      <w:r>
        <w:rPr>
          <w:rFonts w:ascii="Verdana" w:hAnsi="Verdana"/>
          <w:sz w:val="24"/>
        </w:rPr>
        <w:t>Por lo anterior siendo que en el Consejo de Transporte Público se está en conocimiento del Recurso de Revocatoria</w:t>
      </w:r>
      <w:r w:rsidR="00771DCF" w:rsidRPr="007E3FE3">
        <w:rPr>
          <w:rFonts w:ascii="Verdana" w:hAnsi="Verdana"/>
          <w:sz w:val="24"/>
        </w:rPr>
        <w:t>, este Tribunal</w:t>
      </w:r>
      <w:r>
        <w:rPr>
          <w:rFonts w:ascii="Verdana" w:hAnsi="Verdana"/>
          <w:sz w:val="24"/>
        </w:rPr>
        <w:t xml:space="preserve"> Administrativo de Transporte</w:t>
      </w:r>
      <w:r w:rsidR="00771DCF" w:rsidRPr="007E3FE3">
        <w:rPr>
          <w:rFonts w:ascii="Verdana" w:hAnsi="Verdana"/>
          <w:sz w:val="24"/>
        </w:rPr>
        <w:t xml:space="preserve"> debe proceder al rechazo del recurso de Apelación presentado por improcedente, ya que es prematuro el conocimiento del mismo, por lo que no será hasta tanto el Consejo de Transporte Público, conozca en definitiva la acción recursiva de primera instancia y de ser procedente eleve la Apelación, que este despacho podrá entrar a conocer el mismo.</w:t>
      </w:r>
    </w:p>
    <w:p w:rsidR="00771DCF" w:rsidRPr="007E3FE3" w:rsidRDefault="00771DCF" w:rsidP="00771DCF">
      <w:pPr>
        <w:jc w:val="both"/>
        <w:rPr>
          <w:rFonts w:ascii="Verdana" w:hAnsi="Verdana"/>
          <w:sz w:val="24"/>
        </w:rPr>
      </w:pPr>
    </w:p>
    <w:p w:rsidR="00771DCF" w:rsidRPr="007E3FE3" w:rsidRDefault="00771DCF" w:rsidP="00771DCF">
      <w:pPr>
        <w:jc w:val="both"/>
        <w:rPr>
          <w:rFonts w:ascii="Verdana" w:hAnsi="Verdana"/>
          <w:sz w:val="24"/>
        </w:rPr>
      </w:pPr>
      <w:r w:rsidRPr="007E3FE3">
        <w:rPr>
          <w:rFonts w:ascii="Verdana" w:hAnsi="Verdana"/>
          <w:sz w:val="24"/>
        </w:rPr>
        <w:lastRenderedPageBreak/>
        <w:t>La Ley General de la Administración  Pública en su artículo 347 dispone lo siguiente:</w:t>
      </w:r>
    </w:p>
    <w:p w:rsidR="00771DCF" w:rsidRPr="007E3FE3" w:rsidRDefault="00771DCF" w:rsidP="00771DCF">
      <w:pPr>
        <w:jc w:val="both"/>
        <w:rPr>
          <w:rFonts w:ascii="Verdana" w:hAnsi="Verdana"/>
          <w:sz w:val="24"/>
        </w:rPr>
      </w:pPr>
    </w:p>
    <w:p w:rsidR="00771DCF" w:rsidRPr="007E3FE3" w:rsidRDefault="00771DCF" w:rsidP="00771DCF">
      <w:pPr>
        <w:pStyle w:val="NormalWeb"/>
        <w:ind w:left="567" w:right="567"/>
        <w:jc w:val="both"/>
        <w:rPr>
          <w:rFonts w:ascii="Verdana" w:hAnsi="Verdana"/>
          <w:i/>
          <w:sz w:val="20"/>
          <w:szCs w:val="20"/>
        </w:rPr>
      </w:pPr>
      <w:r w:rsidRPr="007E3FE3">
        <w:rPr>
          <w:rFonts w:ascii="Verdana" w:hAnsi="Verdana"/>
          <w:i/>
          <w:sz w:val="20"/>
          <w:szCs w:val="20"/>
        </w:rPr>
        <w:t>“Artículo 347.-</w:t>
      </w:r>
    </w:p>
    <w:p w:rsidR="00771DCF" w:rsidRPr="007E3FE3" w:rsidRDefault="00771DCF" w:rsidP="00771DCF">
      <w:pPr>
        <w:pStyle w:val="NormalWeb"/>
        <w:ind w:left="567" w:right="567"/>
        <w:jc w:val="both"/>
        <w:rPr>
          <w:rFonts w:ascii="Verdana" w:hAnsi="Verdana"/>
          <w:i/>
          <w:sz w:val="20"/>
          <w:szCs w:val="20"/>
        </w:rPr>
      </w:pPr>
      <w:r w:rsidRPr="007E3FE3">
        <w:rPr>
          <w:rFonts w:ascii="Verdana" w:hAnsi="Verdana"/>
          <w:i/>
          <w:sz w:val="20"/>
          <w:szCs w:val="20"/>
        </w:rPr>
        <w:t>1. Los recursos podrán también interponerse haciéndolo constar en el acta de la notificación respectiva.</w:t>
      </w:r>
    </w:p>
    <w:p w:rsidR="00771DCF" w:rsidRPr="007E3FE3" w:rsidRDefault="00771DCF" w:rsidP="00771DCF">
      <w:pPr>
        <w:pStyle w:val="NormalWeb"/>
        <w:ind w:left="567" w:right="567"/>
        <w:jc w:val="both"/>
        <w:rPr>
          <w:rFonts w:ascii="Verdana" w:hAnsi="Verdana"/>
          <w:i/>
          <w:sz w:val="20"/>
          <w:szCs w:val="20"/>
        </w:rPr>
      </w:pPr>
      <w:r w:rsidRPr="007E3FE3">
        <w:rPr>
          <w:rFonts w:ascii="Verdana" w:hAnsi="Verdana"/>
          <w:i/>
          <w:sz w:val="20"/>
          <w:szCs w:val="20"/>
        </w:rPr>
        <w:t>2. Es potestativo usar ambos recursos ordinarios o uno solo de ellos, pero será inadmisible el que se interponga pasados los términos fijados en el artículo anterior.</w:t>
      </w:r>
    </w:p>
    <w:p w:rsidR="00771DCF" w:rsidRPr="007E3FE3" w:rsidRDefault="00771DCF" w:rsidP="00771DCF">
      <w:pPr>
        <w:pStyle w:val="NormalWeb"/>
        <w:ind w:left="567" w:right="567"/>
        <w:jc w:val="both"/>
        <w:rPr>
          <w:rFonts w:ascii="Verdana" w:hAnsi="Verdana"/>
          <w:b/>
          <w:i/>
          <w:sz w:val="20"/>
          <w:szCs w:val="20"/>
        </w:rPr>
      </w:pPr>
      <w:r w:rsidRPr="007E3FE3">
        <w:rPr>
          <w:rFonts w:ascii="Verdana" w:hAnsi="Verdana"/>
          <w:b/>
          <w:i/>
          <w:sz w:val="20"/>
          <w:szCs w:val="20"/>
        </w:rPr>
        <w:t>3. Si se interponen ambos recursos a la vez, se tramitará la apelación una vez declarada sin lugar la revocatoria</w:t>
      </w:r>
      <w:proofErr w:type="gramStart"/>
      <w:r w:rsidRPr="007E3FE3">
        <w:rPr>
          <w:rFonts w:ascii="Verdana" w:hAnsi="Verdana"/>
          <w:b/>
          <w:i/>
          <w:sz w:val="20"/>
          <w:szCs w:val="20"/>
        </w:rPr>
        <w:t>.”</w:t>
      </w:r>
      <w:r w:rsidRPr="007E3FE3">
        <w:rPr>
          <w:rFonts w:ascii="Verdana" w:hAnsi="Verdana"/>
          <w:i/>
          <w:sz w:val="20"/>
          <w:szCs w:val="20"/>
        </w:rPr>
        <w:t>(</w:t>
      </w:r>
      <w:proofErr w:type="gramEnd"/>
      <w:r w:rsidRPr="007E3FE3">
        <w:rPr>
          <w:rFonts w:ascii="Verdana" w:hAnsi="Verdana"/>
          <w:i/>
          <w:sz w:val="20"/>
          <w:szCs w:val="20"/>
        </w:rPr>
        <w:t xml:space="preserve"> El Resaltado es nuestro)</w:t>
      </w:r>
    </w:p>
    <w:p w:rsidR="00771DCF" w:rsidRPr="007E3FE3" w:rsidRDefault="00771DCF" w:rsidP="00771DCF">
      <w:pPr>
        <w:jc w:val="both"/>
        <w:rPr>
          <w:rFonts w:ascii="Verdana" w:hAnsi="Verdana"/>
          <w:sz w:val="24"/>
          <w:szCs w:val="24"/>
        </w:rPr>
      </w:pPr>
    </w:p>
    <w:p w:rsidR="00771DCF" w:rsidRPr="007E3FE3" w:rsidRDefault="00771DCF" w:rsidP="00771DCF">
      <w:pPr>
        <w:jc w:val="both"/>
        <w:rPr>
          <w:rFonts w:ascii="Verdana" w:hAnsi="Verdana"/>
          <w:sz w:val="24"/>
          <w:szCs w:val="24"/>
        </w:rPr>
      </w:pPr>
      <w:r w:rsidRPr="007E3FE3">
        <w:rPr>
          <w:rFonts w:ascii="Verdana" w:hAnsi="Verdana"/>
          <w:sz w:val="24"/>
          <w:szCs w:val="24"/>
        </w:rPr>
        <w:t>De acuerdo con la normativa  indicada, debe declararse la improcedencia del recurso interpuesto  por prematuro y no será hasta que se eleve en alzada la Apelación presentada de manera subsidiaria que se proceda con el conocimiento de la misma.</w:t>
      </w:r>
    </w:p>
    <w:p w:rsidR="00771DCF" w:rsidRPr="007E3FE3" w:rsidRDefault="00771DCF" w:rsidP="00771DCF">
      <w:pPr>
        <w:jc w:val="both"/>
        <w:rPr>
          <w:rFonts w:ascii="Verdana" w:hAnsi="Verdana"/>
          <w:sz w:val="24"/>
          <w:szCs w:val="24"/>
        </w:rPr>
      </w:pPr>
    </w:p>
    <w:p w:rsidR="00771DCF" w:rsidRPr="007E3FE3" w:rsidRDefault="00771DCF" w:rsidP="00771DCF">
      <w:pPr>
        <w:jc w:val="center"/>
        <w:rPr>
          <w:rFonts w:ascii="Verdana" w:hAnsi="Verdana"/>
          <w:b/>
          <w:sz w:val="24"/>
          <w:szCs w:val="24"/>
        </w:rPr>
      </w:pPr>
      <w:r w:rsidRPr="007E3FE3">
        <w:rPr>
          <w:rFonts w:ascii="Verdana" w:hAnsi="Verdana"/>
          <w:b/>
          <w:sz w:val="24"/>
          <w:szCs w:val="24"/>
        </w:rPr>
        <w:t>POR TANTO:</w:t>
      </w:r>
    </w:p>
    <w:p w:rsidR="00771DCF" w:rsidRPr="007E3FE3" w:rsidRDefault="00771DCF" w:rsidP="00771DCF">
      <w:pPr>
        <w:jc w:val="center"/>
        <w:rPr>
          <w:rFonts w:ascii="Verdana" w:hAnsi="Verdana"/>
          <w:b/>
          <w:sz w:val="24"/>
          <w:szCs w:val="24"/>
        </w:rPr>
      </w:pPr>
    </w:p>
    <w:p w:rsidR="00771DCF" w:rsidRPr="007E3FE3" w:rsidRDefault="00771DCF" w:rsidP="00771DCF">
      <w:pPr>
        <w:jc w:val="both"/>
        <w:rPr>
          <w:rFonts w:ascii="Verdana" w:hAnsi="Verdana"/>
          <w:sz w:val="24"/>
          <w:szCs w:val="24"/>
        </w:rPr>
      </w:pPr>
      <w:r w:rsidRPr="007E3FE3">
        <w:rPr>
          <w:rFonts w:ascii="Verdana" w:hAnsi="Verdana"/>
          <w:b/>
          <w:sz w:val="24"/>
          <w:szCs w:val="24"/>
        </w:rPr>
        <w:t xml:space="preserve">I.-  </w:t>
      </w:r>
      <w:r w:rsidRPr="007E3FE3">
        <w:rPr>
          <w:rFonts w:ascii="Verdana" w:hAnsi="Verdana"/>
          <w:sz w:val="24"/>
          <w:szCs w:val="24"/>
        </w:rPr>
        <w:t>Se  rechaza el Recurso de Apelación por improcedente.</w:t>
      </w:r>
    </w:p>
    <w:p w:rsidR="00771DCF" w:rsidRPr="007E3FE3" w:rsidRDefault="00771DCF" w:rsidP="00771DCF">
      <w:pPr>
        <w:jc w:val="both"/>
        <w:rPr>
          <w:rFonts w:ascii="Verdana" w:hAnsi="Verdana"/>
          <w:sz w:val="24"/>
          <w:szCs w:val="24"/>
        </w:rPr>
      </w:pPr>
    </w:p>
    <w:p w:rsidR="00771DCF" w:rsidRPr="007E3FE3" w:rsidRDefault="00771DCF" w:rsidP="00771DCF">
      <w:pPr>
        <w:jc w:val="both"/>
        <w:rPr>
          <w:rFonts w:ascii="Verdana" w:hAnsi="Verdana"/>
          <w:b/>
          <w:sz w:val="24"/>
          <w:szCs w:val="24"/>
        </w:rPr>
      </w:pPr>
      <w:r w:rsidRPr="007E3FE3">
        <w:rPr>
          <w:rFonts w:ascii="Verdana" w:hAnsi="Verdana"/>
          <w:b/>
          <w:sz w:val="24"/>
          <w:szCs w:val="24"/>
        </w:rPr>
        <w:t>II.-</w:t>
      </w:r>
      <w:r w:rsidRPr="007E3FE3">
        <w:rPr>
          <w:rFonts w:ascii="Verdana" w:hAnsi="Verdana"/>
          <w:sz w:val="24"/>
          <w:szCs w:val="24"/>
        </w:rPr>
        <w:t xml:space="preserve">. </w:t>
      </w:r>
      <w:r w:rsidRPr="007E3FE3">
        <w:rPr>
          <w:rFonts w:ascii="Verdana" w:hAnsi="Verdana"/>
          <w:b/>
          <w:sz w:val="24"/>
          <w:szCs w:val="24"/>
        </w:rPr>
        <w:t xml:space="preserve">NOTIFÍQUESE.- </w:t>
      </w:r>
    </w:p>
    <w:p w:rsidR="00771DCF" w:rsidRPr="007E3FE3" w:rsidRDefault="00771DCF" w:rsidP="00771DCF">
      <w:pPr>
        <w:jc w:val="both"/>
        <w:rPr>
          <w:rFonts w:ascii="Verdana" w:hAnsi="Verdana"/>
          <w:b/>
          <w:sz w:val="24"/>
          <w:szCs w:val="24"/>
        </w:rPr>
      </w:pPr>
    </w:p>
    <w:p w:rsidR="00771DCF" w:rsidRPr="007E3FE3" w:rsidRDefault="00771DCF" w:rsidP="00771DCF">
      <w:pPr>
        <w:jc w:val="both"/>
        <w:rPr>
          <w:rFonts w:ascii="Verdana" w:hAnsi="Verdana"/>
          <w:b/>
          <w:sz w:val="22"/>
          <w:szCs w:val="22"/>
        </w:rPr>
      </w:pPr>
    </w:p>
    <w:p w:rsidR="00771DCF" w:rsidRPr="007E3FE3" w:rsidRDefault="00771DCF" w:rsidP="00771DCF">
      <w:pPr>
        <w:pStyle w:val="Ttulo5"/>
        <w:jc w:val="center"/>
        <w:rPr>
          <w:rFonts w:ascii="Verdana" w:hAnsi="Verdana"/>
          <w:b w:val="0"/>
          <w:i w:val="0"/>
          <w:sz w:val="24"/>
        </w:rPr>
      </w:pPr>
    </w:p>
    <w:p w:rsidR="00771DCF" w:rsidRPr="00B5292F" w:rsidRDefault="00771DCF" w:rsidP="00771DCF">
      <w:pPr>
        <w:jc w:val="center"/>
        <w:rPr>
          <w:rFonts w:ascii="Verdana" w:hAnsi="Verdana"/>
          <w:sz w:val="24"/>
          <w:szCs w:val="24"/>
        </w:rPr>
      </w:pPr>
      <w:r w:rsidRPr="00B5292F">
        <w:rPr>
          <w:rFonts w:ascii="Verdana" w:hAnsi="Verdana"/>
          <w:sz w:val="24"/>
          <w:szCs w:val="24"/>
        </w:rPr>
        <w:t xml:space="preserve">Lic. Carlos Miguel  </w:t>
      </w:r>
      <w:proofErr w:type="spellStart"/>
      <w:r w:rsidRPr="00B5292F">
        <w:rPr>
          <w:rFonts w:ascii="Verdana" w:hAnsi="Verdana"/>
          <w:sz w:val="24"/>
          <w:szCs w:val="24"/>
        </w:rPr>
        <w:t>Portuguez</w:t>
      </w:r>
      <w:proofErr w:type="spellEnd"/>
      <w:r w:rsidRPr="00B5292F">
        <w:rPr>
          <w:rFonts w:ascii="Verdana" w:hAnsi="Verdana"/>
          <w:sz w:val="24"/>
          <w:szCs w:val="24"/>
        </w:rPr>
        <w:t xml:space="preserve"> Méndez</w:t>
      </w:r>
    </w:p>
    <w:p w:rsidR="00771DCF" w:rsidRDefault="00771DCF" w:rsidP="00771DCF">
      <w:pPr>
        <w:pStyle w:val="Ttulo2"/>
        <w:spacing w:before="0"/>
        <w:jc w:val="center"/>
        <w:rPr>
          <w:rFonts w:ascii="Verdana" w:hAnsi="Verdana"/>
          <w:color w:val="auto"/>
          <w:szCs w:val="24"/>
        </w:rPr>
      </w:pPr>
      <w:r w:rsidRPr="00771DCF">
        <w:rPr>
          <w:rFonts w:ascii="Verdana" w:hAnsi="Verdana"/>
          <w:color w:val="auto"/>
          <w:szCs w:val="24"/>
        </w:rPr>
        <w:t>Presidente</w:t>
      </w:r>
    </w:p>
    <w:p w:rsidR="00771DCF" w:rsidRDefault="00771DCF" w:rsidP="00771DCF"/>
    <w:p w:rsidR="005B231B" w:rsidRDefault="005B231B" w:rsidP="00771DCF"/>
    <w:p w:rsidR="005B231B" w:rsidRPr="00771DCF" w:rsidRDefault="005B231B" w:rsidP="00771DCF"/>
    <w:p w:rsidR="00771DCF" w:rsidRPr="00A53369" w:rsidRDefault="00771DCF" w:rsidP="00771DCF">
      <w:pPr>
        <w:pStyle w:val="Ttulo1"/>
        <w:spacing w:before="0"/>
        <w:rPr>
          <w:rFonts w:ascii="Verdana" w:hAnsi="Verdana"/>
          <w:b w:val="0"/>
          <w:color w:val="auto"/>
          <w:sz w:val="24"/>
          <w:szCs w:val="24"/>
        </w:rPr>
      </w:pPr>
      <w:r w:rsidRPr="00A53369">
        <w:rPr>
          <w:rFonts w:ascii="Verdana" w:hAnsi="Verdana"/>
          <w:b w:val="0"/>
          <w:color w:val="auto"/>
          <w:sz w:val="24"/>
          <w:szCs w:val="24"/>
        </w:rPr>
        <w:t xml:space="preserve">Licda.  Marta Luz Pérez Peláez       Lic. Mario Quesada Aguirre            </w:t>
      </w:r>
    </w:p>
    <w:p w:rsidR="00A33A1F" w:rsidRDefault="00771DCF" w:rsidP="00771DCF">
      <w:pPr>
        <w:ind w:left="708" w:firstLine="708"/>
      </w:pPr>
      <w:r w:rsidRPr="00B5292F">
        <w:rPr>
          <w:rFonts w:ascii="Verdana" w:hAnsi="Verdana"/>
          <w:b/>
          <w:sz w:val="24"/>
          <w:szCs w:val="24"/>
        </w:rPr>
        <w:t xml:space="preserve">Juez </w:t>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t>Juez</w:t>
      </w:r>
    </w:p>
    <w:sectPr w:rsidR="00A33A1F">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6A7" w:rsidRDefault="006966A7" w:rsidP="00771DCF">
      <w:r>
        <w:separator/>
      </w:r>
    </w:p>
  </w:endnote>
  <w:endnote w:type="continuationSeparator" w:id="0">
    <w:p w:rsidR="006966A7" w:rsidRDefault="006966A7" w:rsidP="0077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E46" w:rsidRDefault="006966A7" w:rsidP="00D03E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3E46" w:rsidRDefault="005F4AD9" w:rsidP="00D03E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E46" w:rsidRDefault="006966A7" w:rsidP="00D03E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703D">
      <w:rPr>
        <w:rStyle w:val="Nmerodepgina"/>
        <w:noProof/>
      </w:rPr>
      <w:t>1</w:t>
    </w:r>
    <w:r>
      <w:rPr>
        <w:rStyle w:val="Nmerodepgina"/>
      </w:rPr>
      <w:fldChar w:fldCharType="end"/>
    </w:r>
  </w:p>
  <w:p w:rsidR="00D03E46" w:rsidRPr="0040199B" w:rsidRDefault="006966A7" w:rsidP="00D03E46">
    <w:pPr>
      <w:pStyle w:val="Piedepgina"/>
      <w:ind w:right="360"/>
      <w:rPr>
        <w:lang w:val="es-MX"/>
      </w:rPr>
    </w:pPr>
    <w:r>
      <w:rPr>
        <w:lang w:val="es-MX"/>
      </w:rPr>
      <w:t xml:space="preserve">                                                                                                                     Res-TAT-No</w:t>
    </w:r>
    <w:r w:rsidR="00771DCF">
      <w:rPr>
        <w:lang w:val="es-MX"/>
      </w:rPr>
      <w:t xml:space="preserve">. </w:t>
    </w:r>
    <w:r w:rsidR="0039703D">
      <w:rPr>
        <w:lang w:val="es-MX"/>
      </w:rPr>
      <w:t>2630</w:t>
    </w:r>
    <w:r w:rsidR="00771DCF">
      <w:rPr>
        <w:lang w:val="es-MX"/>
      </w:rP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6A7" w:rsidRDefault="006966A7" w:rsidP="00771DCF">
      <w:r>
        <w:separator/>
      </w:r>
    </w:p>
  </w:footnote>
  <w:footnote w:type="continuationSeparator" w:id="0">
    <w:p w:rsidR="006966A7" w:rsidRDefault="006966A7" w:rsidP="00771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CF"/>
    <w:rsid w:val="0039703D"/>
    <w:rsid w:val="005B231B"/>
    <w:rsid w:val="005F4AD9"/>
    <w:rsid w:val="006966A7"/>
    <w:rsid w:val="00771DCF"/>
    <w:rsid w:val="0079013A"/>
    <w:rsid w:val="008474DD"/>
    <w:rsid w:val="008A3B46"/>
    <w:rsid w:val="00B7111B"/>
    <w:rsid w:val="00BF156C"/>
    <w:rsid w:val="00D74A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C054E7"/>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1DCF"/>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uiPriority w:val="9"/>
    <w:qFormat/>
    <w:rsid w:val="00771D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71D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qFormat/>
    <w:rsid w:val="00771DCF"/>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71DCF"/>
    <w:rPr>
      <w:rFonts w:ascii="Times New Roman" w:eastAsia="Times New Roman" w:hAnsi="Times New Roman" w:cs="Times New Roman"/>
      <w:b/>
      <w:bCs/>
      <w:i/>
      <w:iCs/>
      <w:sz w:val="26"/>
      <w:szCs w:val="26"/>
      <w:lang w:val="es-ES" w:eastAsia="es-MX"/>
    </w:rPr>
  </w:style>
  <w:style w:type="paragraph" w:styleId="Encabezado">
    <w:name w:val="header"/>
    <w:basedOn w:val="Normal"/>
    <w:link w:val="EncabezadoCar"/>
    <w:rsid w:val="00771DCF"/>
    <w:pPr>
      <w:tabs>
        <w:tab w:val="center" w:pos="4252"/>
        <w:tab w:val="right" w:pos="8504"/>
      </w:tabs>
    </w:pPr>
  </w:style>
  <w:style w:type="character" w:customStyle="1" w:styleId="EncabezadoCar">
    <w:name w:val="Encabezado Car"/>
    <w:basedOn w:val="Fuentedeprrafopredeter"/>
    <w:link w:val="Encabezado"/>
    <w:rsid w:val="00771DCF"/>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771DCF"/>
    <w:pPr>
      <w:tabs>
        <w:tab w:val="center" w:pos="4252"/>
        <w:tab w:val="right" w:pos="8504"/>
      </w:tabs>
    </w:pPr>
  </w:style>
  <w:style w:type="character" w:customStyle="1" w:styleId="PiedepginaCar">
    <w:name w:val="Pie de página Car"/>
    <w:basedOn w:val="Fuentedeprrafopredeter"/>
    <w:link w:val="Piedepgina"/>
    <w:rsid w:val="00771DCF"/>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771DCF"/>
  </w:style>
  <w:style w:type="paragraph" w:styleId="NormalWeb">
    <w:name w:val="Normal (Web)"/>
    <w:basedOn w:val="Normal"/>
    <w:rsid w:val="00771DCF"/>
    <w:pPr>
      <w:spacing w:before="100" w:beforeAutospacing="1" w:after="100" w:afterAutospacing="1"/>
    </w:pPr>
    <w:rPr>
      <w:sz w:val="24"/>
      <w:szCs w:val="24"/>
      <w:lang w:eastAsia="es-ES"/>
    </w:rPr>
  </w:style>
  <w:style w:type="character" w:customStyle="1" w:styleId="Ttulo2Car">
    <w:name w:val="Título 2 Car"/>
    <w:basedOn w:val="Fuentedeprrafopredeter"/>
    <w:link w:val="Ttulo2"/>
    <w:uiPriority w:val="9"/>
    <w:semiHidden/>
    <w:rsid w:val="00771DCF"/>
    <w:rPr>
      <w:rFonts w:asciiTheme="majorHAnsi" w:eastAsiaTheme="majorEastAsia" w:hAnsiTheme="majorHAnsi" w:cstheme="majorBidi"/>
      <w:b/>
      <w:bCs/>
      <w:color w:val="4F81BD" w:themeColor="accent1"/>
      <w:sz w:val="26"/>
      <w:szCs w:val="26"/>
      <w:lang w:val="es-ES" w:eastAsia="es-MX"/>
    </w:rPr>
  </w:style>
  <w:style w:type="character" w:customStyle="1" w:styleId="Ttulo1Car">
    <w:name w:val="Título 1 Car"/>
    <w:basedOn w:val="Fuentedeprrafopredeter"/>
    <w:link w:val="Ttulo1"/>
    <w:uiPriority w:val="9"/>
    <w:rsid w:val="00771DCF"/>
    <w:rPr>
      <w:rFonts w:asciiTheme="majorHAnsi" w:eastAsiaTheme="majorEastAsia" w:hAnsiTheme="majorHAnsi" w:cstheme="majorBidi"/>
      <w:b/>
      <w:bCs/>
      <w:color w:val="365F91" w:themeColor="accent1" w:themeShade="BF"/>
      <w:sz w:val="28"/>
      <w:szCs w:val="28"/>
      <w:lang w:val="es-ES" w:eastAsia="es-MX"/>
    </w:rPr>
  </w:style>
  <w:style w:type="paragraph" w:styleId="Sinespaciado">
    <w:name w:val="No Spacing"/>
    <w:uiPriority w:val="1"/>
    <w:qFormat/>
    <w:rsid w:val="00771DCF"/>
    <w:pPr>
      <w:spacing w:after="0" w:line="240" w:lineRule="auto"/>
    </w:pPr>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E005F-ED31-42A5-A3AB-764DBB7B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2015-07-01T16:51:00Z</cp:lastPrinted>
  <dcterms:created xsi:type="dcterms:W3CDTF">2020-03-19T18:29:00Z</dcterms:created>
  <dcterms:modified xsi:type="dcterms:W3CDTF">2020-03-19T18:31:00Z</dcterms:modified>
</cp:coreProperties>
</file>